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444" w:rsidRPr="00306444" w:rsidRDefault="00306444" w:rsidP="00306444">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06444">
        <w:rPr>
          <w:rFonts w:ascii="Arial" w:hAnsi="Arial" w:cs="Arial"/>
          <w:b/>
          <w:bCs/>
          <w:noProof/>
          <w:sz w:val="24"/>
          <w:szCs w:val="24"/>
        </w:rPr>
        <w:t>3GPP TSG RAN WG1 Meeting #</w:t>
      </w:r>
      <w:r w:rsidRPr="00306444">
        <w:rPr>
          <w:rFonts w:ascii="Arial" w:eastAsia="MS Mincho" w:hAnsi="Arial" w:cs="Arial"/>
          <w:b/>
          <w:bCs/>
          <w:noProof/>
          <w:sz w:val="24"/>
          <w:szCs w:val="24"/>
          <w:lang w:eastAsia="ja-JP"/>
        </w:rPr>
        <w:t>86</w:t>
      </w:r>
      <w:r w:rsidRPr="00306444">
        <w:rPr>
          <w:rFonts w:ascii="Arial" w:eastAsia="MS Mincho" w:hAnsi="Arial" w:cs="Arial"/>
          <w:b/>
          <w:bCs/>
          <w:noProof/>
          <w:sz w:val="24"/>
          <w:szCs w:val="24"/>
          <w:lang w:eastAsia="ja-JP"/>
        </w:rPr>
        <w:tab/>
        <w:t xml:space="preserve"> </w:t>
      </w:r>
      <w:r w:rsidRPr="00306444">
        <w:rPr>
          <w:rFonts w:ascii="Arial" w:eastAsia="MS Mincho" w:hAnsi="Arial" w:cs="Arial"/>
          <w:b/>
          <w:bCs/>
          <w:noProof/>
          <w:sz w:val="24"/>
          <w:szCs w:val="24"/>
          <w:lang w:eastAsia="ja-JP"/>
        </w:rPr>
        <w:tab/>
      </w:r>
      <w:r w:rsidRPr="00306444">
        <w:rPr>
          <w:rFonts w:ascii="Arial" w:hAnsi="Arial" w:cs="Arial"/>
          <w:b/>
          <w:bCs/>
          <w:noProof/>
          <w:sz w:val="24"/>
          <w:szCs w:val="24"/>
        </w:rPr>
        <w:t>R1-166964</w:t>
      </w:r>
    </w:p>
    <w:p w:rsidR="00306444" w:rsidRPr="00306444" w:rsidRDefault="00306444" w:rsidP="00306444">
      <w:pPr>
        <w:pStyle w:val="FootnoteText"/>
        <w:rPr>
          <w:rFonts w:ascii="Arial" w:hAnsi="Arial" w:cs="Arial"/>
          <w:b/>
          <w:bCs/>
          <w:noProof/>
          <w:sz w:val="24"/>
          <w:szCs w:val="24"/>
        </w:rPr>
      </w:pPr>
      <w:r w:rsidRPr="00306444">
        <w:rPr>
          <w:rFonts w:ascii="Arial" w:hAnsi="Arial" w:cs="Arial"/>
          <w:b/>
          <w:bCs/>
          <w:noProof/>
          <w:sz w:val="24"/>
          <w:szCs w:val="24"/>
        </w:rPr>
        <w:t>Gothenburg, Sweden, 22-26 August 2016</w:t>
      </w:r>
    </w:p>
    <w:p w:rsidR="00306444" w:rsidRPr="00306444" w:rsidRDefault="00306444" w:rsidP="00306444">
      <w:pPr>
        <w:pStyle w:val="FootnoteText"/>
        <w:rPr>
          <w:lang w:val="en-US"/>
        </w:rPr>
      </w:pPr>
    </w:p>
    <w:p w:rsidR="00306444" w:rsidRPr="00306444" w:rsidRDefault="00306444" w:rsidP="00306444">
      <w:pPr>
        <w:pStyle w:val="TdocHeader2"/>
        <w:jc w:val="left"/>
        <w:rPr>
          <w:sz w:val="20"/>
          <w:lang w:val="en-US"/>
        </w:rPr>
      </w:pPr>
      <w:r w:rsidRPr="00306444">
        <w:rPr>
          <w:sz w:val="20"/>
          <w:lang w:val="en-US"/>
        </w:rPr>
        <w:t xml:space="preserve">Source: </w:t>
      </w:r>
      <w:r w:rsidRPr="00306444">
        <w:rPr>
          <w:sz w:val="20"/>
          <w:lang w:val="en-US"/>
        </w:rPr>
        <w:tab/>
        <w:t>Ericsson</w:t>
      </w:r>
    </w:p>
    <w:p w:rsidR="00005DBD" w:rsidRPr="00306444" w:rsidRDefault="00005DBD" w:rsidP="00005DBD">
      <w:pPr>
        <w:pStyle w:val="TdocHeader2"/>
        <w:jc w:val="left"/>
        <w:rPr>
          <w:sz w:val="20"/>
          <w:lang w:val="en-US"/>
        </w:rPr>
      </w:pPr>
      <w:r w:rsidRPr="00306444">
        <w:rPr>
          <w:sz w:val="20"/>
          <w:lang w:val="en-US"/>
        </w:rPr>
        <w:t>Title:</w:t>
      </w:r>
      <w:bookmarkStart w:id="2" w:name="Title"/>
      <w:bookmarkEnd w:id="2"/>
      <w:r w:rsidRPr="00306444">
        <w:rPr>
          <w:sz w:val="20"/>
          <w:lang w:val="en-US"/>
        </w:rPr>
        <w:tab/>
      </w:r>
      <w:r w:rsidR="00F674A3" w:rsidRPr="00306444">
        <w:rPr>
          <w:sz w:val="20"/>
          <w:lang w:val="en-US"/>
        </w:rPr>
        <w:t>Receiver Timing Assumptions for V2V SL Operation</w:t>
      </w:r>
    </w:p>
    <w:p w:rsidR="00005DBD" w:rsidRPr="00306444" w:rsidRDefault="00005DBD" w:rsidP="00005DBD">
      <w:pPr>
        <w:pStyle w:val="TdocHeader2"/>
        <w:jc w:val="left"/>
        <w:rPr>
          <w:sz w:val="20"/>
          <w:lang w:val="en-US"/>
        </w:rPr>
      </w:pPr>
      <w:r w:rsidRPr="00306444">
        <w:rPr>
          <w:sz w:val="20"/>
          <w:lang w:val="en-US"/>
        </w:rPr>
        <w:t>Agenda Item:</w:t>
      </w:r>
      <w:r w:rsidRPr="00306444">
        <w:rPr>
          <w:sz w:val="20"/>
          <w:lang w:val="en-US"/>
        </w:rPr>
        <w:tab/>
      </w:r>
      <w:r w:rsidR="00306444" w:rsidRPr="00306444">
        <w:rPr>
          <w:sz w:val="20"/>
          <w:lang w:val="en-US"/>
        </w:rPr>
        <w:t>7</w:t>
      </w:r>
      <w:r w:rsidR="006577DD" w:rsidRPr="00306444">
        <w:rPr>
          <w:sz w:val="20"/>
          <w:lang w:val="en-US"/>
        </w:rPr>
        <w:t>.2.2.7</w:t>
      </w:r>
    </w:p>
    <w:p w:rsidR="00005DBD" w:rsidRPr="007F1723" w:rsidRDefault="00005DBD" w:rsidP="00005DBD">
      <w:pPr>
        <w:pStyle w:val="TdocHeader2"/>
        <w:jc w:val="left"/>
        <w:rPr>
          <w:sz w:val="20"/>
          <w:lang w:val="en-US"/>
        </w:rPr>
      </w:pPr>
      <w:r w:rsidRPr="00306444">
        <w:rPr>
          <w:sz w:val="20"/>
          <w:lang w:val="en-US"/>
        </w:rPr>
        <w:t>Document for:</w:t>
      </w:r>
      <w:r w:rsidRPr="00306444">
        <w:rPr>
          <w:sz w:val="20"/>
          <w:lang w:val="en-US"/>
        </w:rPr>
        <w:tab/>
        <w:t>Discussion and Decision</w:t>
      </w:r>
    </w:p>
    <w:bookmarkEnd w:id="0"/>
    <w:bookmarkEnd w:id="1"/>
    <w:p w:rsidR="00D77223" w:rsidRDefault="00D77223" w:rsidP="008A63F4">
      <w:pPr>
        <w:pStyle w:val="Heading1"/>
      </w:pPr>
      <w:r w:rsidRPr="007F1723">
        <w:t>Introduction</w:t>
      </w:r>
    </w:p>
    <w:p w:rsidR="00FE4554" w:rsidRPr="008A36C3" w:rsidRDefault="00AC5DD9" w:rsidP="00FE4554">
      <w:pPr>
        <w:overflowPunct w:val="0"/>
        <w:adjustRightInd w:val="0"/>
        <w:textAlignment w:val="baseline"/>
        <w:rPr>
          <w:rFonts w:eastAsia="Malgun Gothic"/>
        </w:rPr>
      </w:pPr>
      <w:r>
        <w:rPr>
          <w:spacing w:val="2"/>
        </w:rPr>
        <w:t>The follow</w:t>
      </w:r>
      <w:r w:rsidR="00FE4554">
        <w:rPr>
          <w:spacing w:val="2"/>
        </w:rPr>
        <w:t>ing was concluded during RAN1#85:</w:t>
      </w:r>
      <w:r w:rsidR="00FE4554" w:rsidRPr="00FE4554">
        <w:rPr>
          <w:rFonts w:eastAsia="Malgun Gothic"/>
        </w:rPr>
        <w:t xml:space="preserve"> </w:t>
      </w:r>
    </w:p>
    <w:p w:rsidR="00FE4554" w:rsidRPr="00FE4554" w:rsidRDefault="00FE4554" w:rsidP="00FE4554">
      <w:pPr>
        <w:ind w:left="284"/>
        <w:rPr>
          <w:rFonts w:eastAsia="Malgun Gothic"/>
          <w:b/>
          <w:i/>
          <w:iCs/>
          <w:highlight w:val="green"/>
          <w:u w:val="single"/>
        </w:rPr>
      </w:pPr>
      <w:r w:rsidRPr="00FE4554">
        <w:rPr>
          <w:rFonts w:eastAsia="Malgun Gothic"/>
          <w:b/>
          <w:i/>
          <w:iCs/>
          <w:highlight w:val="green"/>
          <w:u w:val="single"/>
        </w:rPr>
        <w:t>Agreement</w:t>
      </w:r>
      <w:r w:rsidRPr="00FE4554">
        <w:rPr>
          <w:rFonts w:eastAsia="Malgun Gothic" w:hint="eastAsia"/>
          <w:b/>
          <w:i/>
          <w:iCs/>
          <w:highlight w:val="green"/>
          <w:u w:val="single"/>
        </w:rPr>
        <w:t xml:space="preserve"> in RAN1 #85</w:t>
      </w:r>
      <w:r w:rsidRPr="00FE4554">
        <w:rPr>
          <w:rFonts w:eastAsia="Malgun Gothic"/>
          <w:b/>
          <w:i/>
          <w:iCs/>
          <w:highlight w:val="green"/>
          <w:u w:val="single"/>
        </w:rPr>
        <w:t>:</w:t>
      </w:r>
    </w:p>
    <w:p w:rsidR="00FE4554" w:rsidRPr="00FE4554" w:rsidRDefault="00FE4554" w:rsidP="00FE4554">
      <w:pPr>
        <w:pStyle w:val="LGTdoc"/>
        <w:numPr>
          <w:ilvl w:val="0"/>
          <w:numId w:val="22"/>
        </w:numPr>
        <w:spacing w:afterLines="0" w:after="0" w:line="240" w:lineRule="auto"/>
        <w:ind w:left="1044"/>
        <w:rPr>
          <w:i/>
          <w:sz w:val="20"/>
          <w:szCs w:val="20"/>
          <w:lang w:val="en-US"/>
        </w:rPr>
      </w:pPr>
      <w:r w:rsidRPr="00FE4554">
        <w:rPr>
          <w:rFonts w:hint="eastAsia"/>
          <w:i/>
          <w:sz w:val="20"/>
          <w:szCs w:val="20"/>
          <w:lang w:val="en-US"/>
        </w:rPr>
        <w:t xml:space="preserve">For all the PSCCH/PSSCH/SLSS/PSBCH transmissions for V2V in all the resource allocation modes, </w:t>
      </w:r>
      <w:r w:rsidRPr="00FE4554">
        <w:rPr>
          <w:i/>
          <w:position w:val="-14"/>
        </w:rPr>
        <w:object w:dxaOrig="1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9pt" o:ole="">
            <v:imagedata r:id="rId9" o:title=""/>
          </v:shape>
          <o:OLEObject Type="Embed" ProgID="Equation.3" ShapeID="_x0000_i1025" DrawAspect="Content" ObjectID="_1532434953" r:id="rId10"/>
        </w:object>
      </w:r>
    </w:p>
    <w:p w:rsidR="00FE4554" w:rsidRPr="00FE4554" w:rsidRDefault="00FE4554" w:rsidP="00FE4554">
      <w:pPr>
        <w:pStyle w:val="LGTdoc"/>
        <w:numPr>
          <w:ilvl w:val="0"/>
          <w:numId w:val="22"/>
        </w:numPr>
        <w:spacing w:afterLines="0" w:after="0" w:line="240" w:lineRule="auto"/>
        <w:ind w:left="1044"/>
        <w:rPr>
          <w:i/>
          <w:sz w:val="20"/>
          <w:szCs w:val="20"/>
          <w:lang w:val="en-US"/>
        </w:rPr>
      </w:pPr>
      <w:r w:rsidRPr="00FE4554">
        <w:rPr>
          <w:rFonts w:hint="eastAsia"/>
          <w:i/>
          <w:sz w:val="20"/>
          <w:szCs w:val="20"/>
          <w:lang w:val="en-US"/>
        </w:rPr>
        <w:t xml:space="preserve">FFS in RAN1 on the receiver UE assumption on the reception timing, e.g., whether it can assume that all the transmissions in a single </w:t>
      </w:r>
      <w:proofErr w:type="spellStart"/>
      <w:r w:rsidRPr="00FE4554">
        <w:rPr>
          <w:rFonts w:hint="eastAsia"/>
          <w:i/>
          <w:sz w:val="20"/>
          <w:szCs w:val="20"/>
          <w:lang w:val="en-US"/>
        </w:rPr>
        <w:t>subframe</w:t>
      </w:r>
      <w:proofErr w:type="spellEnd"/>
      <w:r w:rsidRPr="00FE4554">
        <w:rPr>
          <w:rFonts w:hint="eastAsia"/>
          <w:i/>
          <w:sz w:val="20"/>
          <w:szCs w:val="20"/>
          <w:lang w:val="en-US"/>
        </w:rPr>
        <w:t xml:space="preserve"> use the same synchronization reference.</w:t>
      </w:r>
    </w:p>
    <w:p w:rsidR="005E0380" w:rsidRPr="005E0380" w:rsidRDefault="005E0380" w:rsidP="00FE4554">
      <w:pPr>
        <w:pStyle w:val="BodyText"/>
        <w:spacing w:after="240"/>
        <w:jc w:val="both"/>
        <w:rPr>
          <w:rFonts w:eastAsia="MS Mincho"/>
          <w:lang w:eastAsia="ja-JP"/>
        </w:rPr>
      </w:pPr>
    </w:p>
    <w:p w:rsidR="00C0599D" w:rsidRPr="007E0F94" w:rsidRDefault="00AC5DD9" w:rsidP="00E56175">
      <w:pPr>
        <w:spacing w:after="0"/>
        <w:rPr>
          <w:lang w:val="en-US"/>
        </w:rPr>
      </w:pPr>
      <w:r w:rsidRPr="005E0380">
        <w:rPr>
          <w:rFonts w:eastAsia="MS Mincho"/>
          <w:iCs/>
          <w:lang w:val="en-US" w:eastAsia="ja-JP"/>
        </w:rPr>
        <w:t xml:space="preserve">In this contribution we discuss </w:t>
      </w:r>
      <w:r w:rsidR="00150C78" w:rsidRPr="005E0380">
        <w:rPr>
          <w:rFonts w:eastAsia="MS Mincho"/>
          <w:iCs/>
          <w:lang w:val="en-US" w:eastAsia="ja-JP"/>
        </w:rPr>
        <w:t xml:space="preserve">remaining details of the </w:t>
      </w:r>
      <w:r w:rsidR="00FE4554">
        <w:rPr>
          <w:rFonts w:eastAsia="MS Mincho"/>
          <w:iCs/>
          <w:lang w:val="en-US" w:eastAsia="ja-JP"/>
        </w:rPr>
        <w:t>receiver</w:t>
      </w:r>
      <w:r w:rsidR="00150C78" w:rsidRPr="005E0380">
        <w:rPr>
          <w:rFonts w:eastAsia="MS Mincho"/>
          <w:iCs/>
          <w:lang w:val="en-US" w:eastAsia="ja-JP"/>
        </w:rPr>
        <w:t xml:space="preserve"> </w:t>
      </w:r>
      <w:r w:rsidR="00FE4554">
        <w:rPr>
          <w:rFonts w:eastAsia="MS Mincho"/>
          <w:iCs/>
          <w:lang w:val="en-US" w:eastAsia="ja-JP"/>
        </w:rPr>
        <w:t>behavior</w:t>
      </w:r>
      <w:r w:rsidR="00150C78" w:rsidRPr="005E0380">
        <w:rPr>
          <w:rFonts w:eastAsia="MS Mincho"/>
          <w:iCs/>
          <w:lang w:val="en-US" w:eastAsia="ja-JP"/>
        </w:rPr>
        <w:t>.</w:t>
      </w:r>
    </w:p>
    <w:p w:rsidR="00027D6C" w:rsidRDefault="004F7EA4" w:rsidP="00027D6C">
      <w:pPr>
        <w:pStyle w:val="Heading1"/>
        <w:rPr>
          <w:rStyle w:val="IvDbodytextChar"/>
          <w:rFonts w:eastAsia="SimSun"/>
          <w:spacing w:val="0"/>
        </w:rPr>
      </w:pPr>
      <w:r>
        <w:rPr>
          <w:rStyle w:val="IvDbodytextChar"/>
          <w:rFonts w:eastAsia="SimSun"/>
          <w:spacing w:val="0"/>
        </w:rPr>
        <w:t xml:space="preserve">Discussion on UE Reception </w:t>
      </w:r>
      <w:proofErr w:type="spellStart"/>
      <w:r>
        <w:rPr>
          <w:rStyle w:val="IvDbodytextChar"/>
          <w:rFonts w:eastAsia="SimSun"/>
          <w:spacing w:val="0"/>
        </w:rPr>
        <w:t>Behavior</w:t>
      </w:r>
      <w:proofErr w:type="spellEnd"/>
      <w:r>
        <w:rPr>
          <w:rStyle w:val="IvDbodytextChar"/>
          <w:rFonts w:eastAsia="SimSun"/>
          <w:spacing w:val="0"/>
        </w:rPr>
        <w:t xml:space="preserve"> </w:t>
      </w:r>
    </w:p>
    <w:p w:rsidR="00FE4554" w:rsidRDefault="00FE4554" w:rsidP="00E56175">
      <w:pPr>
        <w:jc w:val="both"/>
      </w:pPr>
      <w:r>
        <w:t xml:space="preserve">Depending on the synchronization source the transmitting UEs will either align to a global timing reference that is independent of UE position (i.e., with GNSS) or </w:t>
      </w:r>
      <w:r w:rsidR="000C60CD">
        <w:t>they</w:t>
      </w:r>
      <w:r>
        <w:t xml:space="preserve"> will align to a timing that is function of the geographical position of the UE due to propagation delay from a single synchronization reference (i.e., the </w:t>
      </w:r>
      <w:proofErr w:type="spellStart"/>
      <w:r>
        <w:t>eNB</w:t>
      </w:r>
      <w:proofErr w:type="spellEnd"/>
      <w:r>
        <w:t>). It was also agreed that TA is not used for V2V SL, which implies that propagation delay is not going to be compensated.</w:t>
      </w:r>
    </w:p>
    <w:p w:rsidR="004F7EA4" w:rsidRDefault="00FE4554" w:rsidP="00E56175">
      <w:pPr>
        <w:jc w:val="both"/>
      </w:pPr>
      <w:r>
        <w:t>A receiver UE is typically unaware of the exact reception timing of the potential OFDM symbols and it will adjust its receiver window according to some implementation algorithm in order to maximize the</w:t>
      </w:r>
      <w:r w:rsidR="004F7EA4">
        <w:t xml:space="preserve"> reliable</w:t>
      </w:r>
      <w:r>
        <w:t xml:space="preserve"> reception probability of the signals of interest.</w:t>
      </w:r>
      <w:r w:rsidR="004F7EA4">
        <w:t xml:space="preserve"> However, the UE optimal behaviour should be different depending on whether the received signals are aligned to an absolute timing or to an </w:t>
      </w:r>
      <w:proofErr w:type="spellStart"/>
      <w:r w:rsidR="004F7EA4">
        <w:t>eNB</w:t>
      </w:r>
      <w:proofErr w:type="spellEnd"/>
      <w:r w:rsidR="004F7EA4">
        <w:t>.</w:t>
      </w:r>
    </w:p>
    <w:p w:rsidR="004F7EA4" w:rsidRPr="00651380" w:rsidRDefault="004F7EA4" w:rsidP="00FE2DBF">
      <w:pPr>
        <w:pStyle w:val="BodyText"/>
        <w:jc w:val="center"/>
        <w:rPr>
          <w:rFonts w:ascii="Arial" w:hAnsi="Arial"/>
          <w:spacing w:val="2"/>
        </w:rPr>
      </w:pPr>
      <w:r>
        <w:rPr>
          <w:noProof/>
          <w:lang w:val="sv-SE" w:eastAsia="sv-SE"/>
        </w:rPr>
        <w:drawing>
          <wp:inline distT="0" distB="0" distL="0" distR="0" wp14:anchorId="69411698" wp14:editId="010CA8A7">
            <wp:extent cx="4667002" cy="9022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821" cy="902379"/>
                    </a:xfrm>
                    <a:prstGeom prst="rect">
                      <a:avLst/>
                    </a:prstGeom>
                    <a:noFill/>
                  </pic:spPr>
                </pic:pic>
              </a:graphicData>
            </a:graphic>
          </wp:inline>
        </w:drawing>
      </w:r>
    </w:p>
    <w:p w:rsidR="004F7EA4" w:rsidRDefault="004F7EA4" w:rsidP="00FE2DBF">
      <w:pPr>
        <w:pStyle w:val="Caption"/>
        <w:jc w:val="center"/>
      </w:pPr>
      <w:bookmarkStart w:id="3" w:name="_Ref438461225"/>
      <w:r>
        <w:t xml:space="preserve">Figure </w:t>
      </w:r>
      <w:r>
        <w:fldChar w:fldCharType="begin"/>
      </w:r>
      <w:r>
        <w:instrText xml:space="preserve"> SEQ Figure \* ARABIC </w:instrText>
      </w:r>
      <w:r>
        <w:fldChar w:fldCharType="separate"/>
      </w:r>
      <w:r>
        <w:rPr>
          <w:noProof/>
        </w:rPr>
        <w:t>1</w:t>
      </w:r>
      <w:r>
        <w:rPr>
          <w:noProof/>
        </w:rPr>
        <w:fldChar w:fldCharType="end"/>
      </w:r>
      <w:bookmarkEnd w:id="3"/>
      <w:r>
        <w:t>: Example deployment of UEs and one synchronization reference (</w:t>
      </w:r>
      <w:proofErr w:type="spellStart"/>
      <w:r>
        <w:t>eNB</w:t>
      </w:r>
      <w:proofErr w:type="spellEnd"/>
      <w:r>
        <w:t xml:space="preserve"> in this example)</w:t>
      </w:r>
    </w:p>
    <w:p w:rsidR="00E56175" w:rsidRPr="00E56175" w:rsidRDefault="00E56175" w:rsidP="00E56175"/>
    <w:p w:rsidR="00FE4554" w:rsidRDefault="004F7EA4" w:rsidP="00E56175">
      <w:pPr>
        <w:jc w:val="both"/>
      </w:pPr>
      <w:r>
        <w:fldChar w:fldCharType="begin"/>
      </w:r>
      <w:r>
        <w:instrText xml:space="preserve"> REF _Ref438461225 \h </w:instrText>
      </w:r>
      <w:r>
        <w:fldChar w:fldCharType="separate"/>
      </w:r>
      <w:r>
        <w:t xml:space="preserve">Figure </w:t>
      </w:r>
      <w:r>
        <w:rPr>
          <w:noProof/>
        </w:rPr>
        <w:t>1</w:t>
      </w:r>
      <w:r>
        <w:fldChar w:fldCharType="end"/>
      </w:r>
      <w:r>
        <w:t xml:space="preserve"> provides an example scenario where 3 transmitting UEs are synchronized to an </w:t>
      </w:r>
      <w:proofErr w:type="spellStart"/>
      <w:r>
        <w:t>eNB</w:t>
      </w:r>
      <w:proofErr w:type="spellEnd"/>
      <w:r>
        <w:t xml:space="preserve"> and a Ref UE receives the signals from all the 3 UEs.</w:t>
      </w:r>
    </w:p>
    <w:p w:rsidR="004F7EA4" w:rsidRDefault="0069322F" w:rsidP="004F7EA4">
      <w:pPr>
        <w:pStyle w:val="BodyText"/>
        <w:jc w:val="center"/>
      </w:pPr>
      <w:r>
        <w:rPr>
          <w:noProof/>
          <w:lang w:val="sv-SE" w:eastAsia="sv-SE"/>
        </w:rPr>
        <w:lastRenderedPageBreak/>
        <w:drawing>
          <wp:inline distT="0" distB="0" distL="0" distR="0" wp14:anchorId="3324AE64" wp14:editId="2142F730">
            <wp:extent cx="3963035" cy="259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3035" cy="2590800"/>
                    </a:xfrm>
                    <a:prstGeom prst="rect">
                      <a:avLst/>
                    </a:prstGeom>
                    <a:noFill/>
                  </pic:spPr>
                </pic:pic>
              </a:graphicData>
            </a:graphic>
          </wp:inline>
        </w:drawing>
      </w:r>
    </w:p>
    <w:p w:rsidR="004F7EA4" w:rsidRPr="005A4FC7" w:rsidRDefault="004F7EA4" w:rsidP="004F7EA4">
      <w:pPr>
        <w:pStyle w:val="Caption"/>
      </w:pPr>
      <w:bookmarkStart w:id="4" w:name="_Ref435831832"/>
      <w:r>
        <w:t xml:space="preserve">Figure </w:t>
      </w:r>
      <w:r>
        <w:fldChar w:fldCharType="begin"/>
      </w:r>
      <w:r>
        <w:instrText xml:space="preserve"> SEQ Figure \* ARABIC </w:instrText>
      </w:r>
      <w:r>
        <w:fldChar w:fldCharType="separate"/>
      </w:r>
      <w:r>
        <w:rPr>
          <w:noProof/>
        </w:rPr>
        <w:t>2</w:t>
      </w:r>
      <w:r>
        <w:rPr>
          <w:noProof/>
        </w:rPr>
        <w:fldChar w:fldCharType="end"/>
      </w:r>
      <w:bookmarkEnd w:id="4"/>
      <w:r>
        <w:t xml:space="preserve">: Timing of signals received by the ref UE in </w:t>
      </w:r>
      <w:r>
        <w:fldChar w:fldCharType="begin"/>
      </w:r>
      <w:r>
        <w:instrText xml:space="preserve"> REF _Ref438461225 \h </w:instrText>
      </w:r>
      <w:r>
        <w:fldChar w:fldCharType="separate"/>
      </w:r>
      <w:r>
        <w:t xml:space="preserve">Figure </w:t>
      </w:r>
      <w:r>
        <w:rPr>
          <w:noProof/>
        </w:rPr>
        <w:t>1</w:t>
      </w:r>
      <w:r>
        <w:fldChar w:fldCharType="end"/>
      </w:r>
      <w:r>
        <w:t xml:space="preserve">. The timing reference indicates the point in time where the Ref UE receives the DL signals from the </w:t>
      </w:r>
      <w:proofErr w:type="spellStart"/>
      <w:r>
        <w:t>eNB</w:t>
      </w:r>
      <w:proofErr w:type="spellEnd"/>
      <w:r>
        <w:t>.</w:t>
      </w:r>
    </w:p>
    <w:p w:rsidR="004F7EA4" w:rsidRDefault="004F7EA4" w:rsidP="00E56175">
      <w:pPr>
        <w:jc w:val="both"/>
      </w:pPr>
      <w:r>
        <w:fldChar w:fldCharType="begin"/>
      </w:r>
      <w:r>
        <w:instrText xml:space="preserve"> REF _Ref435831832 \h </w:instrText>
      </w:r>
      <w:r>
        <w:fldChar w:fldCharType="separate"/>
      </w:r>
      <w:r>
        <w:t xml:space="preserve">Figure </w:t>
      </w:r>
      <w:r>
        <w:rPr>
          <w:noProof/>
        </w:rPr>
        <w:t>2</w:t>
      </w:r>
      <w:r>
        <w:fldChar w:fldCharType="end"/>
      </w:r>
      <w:r>
        <w:t xml:space="preserve"> </w:t>
      </w:r>
      <w:r w:rsidR="00F73B55">
        <w:t xml:space="preserve">shows the distribution of the times at which signals transmitted by UE1-3 are received by Ref UE assuming that the UEs follow DL timing and are placed as shown in </w:t>
      </w:r>
      <w:r w:rsidR="00F73B55">
        <w:fldChar w:fldCharType="begin"/>
      </w:r>
      <w:r w:rsidR="00F73B55">
        <w:instrText xml:space="preserve"> REF _Ref438461225 \h </w:instrText>
      </w:r>
      <w:r w:rsidR="00F73B55">
        <w:fldChar w:fldCharType="separate"/>
      </w:r>
      <w:r w:rsidR="00F73B55">
        <w:t xml:space="preserve">Figure </w:t>
      </w:r>
      <w:r w:rsidR="00F73B55">
        <w:rPr>
          <w:noProof/>
        </w:rPr>
        <w:t>1</w:t>
      </w:r>
      <w:r w:rsidR="00F73B55">
        <w:fldChar w:fldCharType="end"/>
      </w:r>
      <w:r w:rsidR="00F73B55">
        <w:t xml:space="preserve">. </w:t>
      </w:r>
      <w:r>
        <w:t xml:space="preserve">The “timing reference” indicates the reception time </w:t>
      </w:r>
      <w:r w:rsidR="00895264">
        <w:t xml:space="preserve">(at Ref UE) </w:t>
      </w:r>
      <w:r>
        <w:t>of the DL</w:t>
      </w:r>
      <w:r w:rsidR="00895264">
        <w:t xml:space="preserve"> </w:t>
      </w:r>
      <w:r>
        <w:t xml:space="preserve">signals from the </w:t>
      </w:r>
      <w:proofErr w:type="spellStart"/>
      <w:r>
        <w:t>eNB</w:t>
      </w:r>
      <w:proofErr w:type="spellEnd"/>
      <w:r>
        <w:t>. Clearly, in this example a smart UE implementation would move its reception window to the “right” of the reference timing in order to receive all signals of interest including their multipath reflections, minimizing ICI.</w:t>
      </w:r>
    </w:p>
    <w:p w:rsidR="004F7EA4" w:rsidRPr="000C60CD" w:rsidRDefault="000C60CD" w:rsidP="004F7EA4">
      <w:pPr>
        <w:pStyle w:val="BodyText"/>
        <w:jc w:val="center"/>
        <w:rPr>
          <w:lang w:val="en-GB"/>
        </w:rPr>
      </w:pPr>
      <w:r>
        <w:rPr>
          <w:noProof/>
          <w:lang w:val="sv-SE" w:eastAsia="sv-SE"/>
        </w:rPr>
        <w:drawing>
          <wp:inline distT="0" distB="0" distL="0" distR="0" wp14:anchorId="65BE9F02" wp14:editId="5CE6FD32">
            <wp:extent cx="3889375" cy="259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9375" cy="2590800"/>
                    </a:xfrm>
                    <a:prstGeom prst="rect">
                      <a:avLst/>
                    </a:prstGeom>
                    <a:noFill/>
                  </pic:spPr>
                </pic:pic>
              </a:graphicData>
            </a:graphic>
          </wp:inline>
        </w:drawing>
      </w:r>
    </w:p>
    <w:p w:rsidR="004F7EA4" w:rsidRPr="005A4FC7" w:rsidRDefault="004F7EA4" w:rsidP="004F7EA4">
      <w:pPr>
        <w:pStyle w:val="Caption"/>
        <w:ind w:firstLine="720"/>
      </w:pPr>
      <w:bookmarkStart w:id="5" w:name="_Ref438461193"/>
      <w:bookmarkStart w:id="6" w:name="_Ref438461015"/>
      <w:r>
        <w:t xml:space="preserve">Figure </w:t>
      </w:r>
      <w:r>
        <w:fldChar w:fldCharType="begin"/>
      </w:r>
      <w:r>
        <w:instrText xml:space="preserve"> SEQ Figure \* ARABIC </w:instrText>
      </w:r>
      <w:r>
        <w:fldChar w:fldCharType="separate"/>
      </w:r>
      <w:r>
        <w:rPr>
          <w:noProof/>
        </w:rPr>
        <w:t>3</w:t>
      </w:r>
      <w:r>
        <w:rPr>
          <w:noProof/>
        </w:rPr>
        <w:fldChar w:fldCharType="end"/>
      </w:r>
      <w:bookmarkEnd w:id="5"/>
      <w:r>
        <w:t xml:space="preserve">: </w:t>
      </w:r>
      <w:bookmarkEnd w:id="6"/>
      <w:r>
        <w:t xml:space="preserve">Example of timing of signals received by the ref UE in </w:t>
      </w:r>
      <w:r>
        <w:fldChar w:fldCharType="begin"/>
      </w:r>
      <w:r>
        <w:instrText xml:space="preserve"> REF _Ref438461225 \h </w:instrText>
      </w:r>
      <w:r>
        <w:fldChar w:fldCharType="separate"/>
      </w:r>
      <w:r>
        <w:t xml:space="preserve">Figure </w:t>
      </w:r>
      <w:r>
        <w:rPr>
          <w:noProof/>
        </w:rPr>
        <w:t>1</w:t>
      </w:r>
      <w:r>
        <w:fldChar w:fldCharType="end"/>
      </w:r>
      <w:r>
        <w:t xml:space="preserve">, assuming all UEs follow GNSS timing instead of </w:t>
      </w:r>
      <w:proofErr w:type="spellStart"/>
      <w:r>
        <w:t>eNB</w:t>
      </w:r>
      <w:proofErr w:type="spellEnd"/>
      <w:r>
        <w:t>. The timing reference indicates the point in time where the Ref UE receives the DL signals from the GNSS.</w:t>
      </w:r>
    </w:p>
    <w:p w:rsidR="004F7EA4" w:rsidRDefault="004F7EA4" w:rsidP="00E56175">
      <w:pPr>
        <w:jc w:val="both"/>
      </w:pPr>
      <w:r>
        <w:fldChar w:fldCharType="begin"/>
      </w:r>
      <w:r>
        <w:instrText xml:space="preserve"> REF _Ref438461193 \h </w:instrText>
      </w:r>
      <w:r w:rsidR="00895264">
        <w:instrText xml:space="preserve"> \* MERGEFORMAT </w:instrText>
      </w:r>
      <w:r>
        <w:fldChar w:fldCharType="separate"/>
      </w:r>
      <w:r>
        <w:t xml:space="preserve">Figure </w:t>
      </w:r>
      <w:r>
        <w:rPr>
          <w:noProof/>
        </w:rPr>
        <w:t>3</w:t>
      </w:r>
      <w:r>
        <w:fldChar w:fldCharType="end"/>
      </w:r>
      <w:r>
        <w:t xml:space="preserve"> assumes a new scenario where all UEs synchronize to GNSS instead of the </w:t>
      </w:r>
      <w:proofErr w:type="spellStart"/>
      <w:r>
        <w:t>eNB</w:t>
      </w:r>
      <w:proofErr w:type="spellEnd"/>
      <w:r>
        <w:t>.</w:t>
      </w:r>
      <w:r w:rsidR="00193B88">
        <w:t xml:space="preserve"> The “timing reference” indicates the GNSS time reference. In this case</w:t>
      </w:r>
      <w:r>
        <w:t xml:space="preserve"> the time distribution of the signals received </w:t>
      </w:r>
      <w:r w:rsidR="00193B88">
        <w:t xml:space="preserve">by </w:t>
      </w:r>
      <w:r>
        <w:t>Ref UE from the other 3 transmitting UEs</w:t>
      </w:r>
      <w:r w:rsidR="00193B88">
        <w:t xml:space="preserve"> is </w:t>
      </w:r>
      <w:r w:rsidR="000C60CD">
        <w:t>more compact and closer to the timing reference</w:t>
      </w:r>
      <w:r w:rsidR="00193B88">
        <w:t>:</w:t>
      </w:r>
      <w:r>
        <w:t xml:space="preserve"> in this example </w:t>
      </w:r>
      <w:r w:rsidR="00193B88">
        <w:t>the smart</w:t>
      </w:r>
      <w:r>
        <w:t xml:space="preserve"> UE implementation would move its reception window to the “</w:t>
      </w:r>
      <w:r w:rsidR="00193B88">
        <w:t>left</w:t>
      </w:r>
      <w:r>
        <w:t xml:space="preserve">” </w:t>
      </w:r>
      <w:r w:rsidR="000C60CD">
        <w:t xml:space="preserve">compared to </w:t>
      </w:r>
      <w:r w:rsidR="000C60CD">
        <w:fldChar w:fldCharType="begin"/>
      </w:r>
      <w:r w:rsidR="000C60CD">
        <w:instrText xml:space="preserve"> REF _Ref435831832 \h </w:instrText>
      </w:r>
      <w:r w:rsidR="00895264">
        <w:instrText xml:space="preserve"> \* MERGEFORMAT </w:instrText>
      </w:r>
      <w:r w:rsidR="000C60CD">
        <w:fldChar w:fldCharType="separate"/>
      </w:r>
      <w:r w:rsidR="000C60CD">
        <w:t xml:space="preserve">Figure </w:t>
      </w:r>
      <w:r w:rsidR="000C60CD">
        <w:rPr>
          <w:noProof/>
        </w:rPr>
        <w:t>2</w:t>
      </w:r>
      <w:r w:rsidR="000C60CD">
        <w:fldChar w:fldCharType="end"/>
      </w:r>
      <w:r w:rsidR="000C60CD">
        <w:t xml:space="preserve"> </w:t>
      </w:r>
      <w:r>
        <w:t>in order to receive all signals of interest including their multipath reflections, minimizing ICI</w:t>
      </w:r>
      <w:r w:rsidR="00193B88">
        <w:t xml:space="preserve">. </w:t>
      </w:r>
    </w:p>
    <w:p w:rsidR="00193B88" w:rsidRDefault="00193B88" w:rsidP="00E56175">
      <w:pPr>
        <w:jc w:val="both"/>
      </w:pPr>
      <w:r>
        <w:t>We observe that the above issue was not present in SL Rel-12/13 because GNSS synchronization was not supported.</w:t>
      </w:r>
    </w:p>
    <w:p w:rsidR="004F7EA4" w:rsidRDefault="00193B88" w:rsidP="00E56175">
      <w:pPr>
        <w:jc w:val="both"/>
      </w:pPr>
      <w:r>
        <w:t>We conclude the following:</w:t>
      </w:r>
    </w:p>
    <w:p w:rsidR="00193B88" w:rsidRPr="00193B88" w:rsidRDefault="00193B88" w:rsidP="00E56175">
      <w:pPr>
        <w:jc w:val="both"/>
        <w:rPr>
          <w:b/>
          <w:i/>
        </w:rPr>
      </w:pPr>
      <w:r w:rsidRPr="00193B88">
        <w:rPr>
          <w:b/>
          <w:i/>
        </w:rPr>
        <w:t>Observations:</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 xml:space="preserve">The received signals of interest </w:t>
      </w:r>
      <w:r w:rsidR="0069322F">
        <w:rPr>
          <w:rFonts w:ascii="Times New Roman" w:hAnsi="Times New Roman" w:cs="Times New Roman"/>
          <w:b/>
          <w:i/>
          <w:sz w:val="20"/>
          <w:szCs w:val="20"/>
        </w:rPr>
        <w:t xml:space="preserve">have different time distributions depending whether </w:t>
      </w:r>
      <w:r w:rsidRPr="00193B88">
        <w:rPr>
          <w:rFonts w:ascii="Times New Roman" w:hAnsi="Times New Roman" w:cs="Times New Roman"/>
          <w:b/>
          <w:i/>
          <w:sz w:val="20"/>
          <w:szCs w:val="20"/>
        </w:rPr>
        <w:t xml:space="preserve">UEs are synchronized to an </w:t>
      </w:r>
      <w:proofErr w:type="spellStart"/>
      <w:r w:rsidRPr="00193B88">
        <w:rPr>
          <w:rFonts w:ascii="Times New Roman" w:hAnsi="Times New Roman" w:cs="Times New Roman"/>
          <w:b/>
          <w:i/>
          <w:sz w:val="20"/>
          <w:szCs w:val="20"/>
        </w:rPr>
        <w:t>eNB</w:t>
      </w:r>
      <w:proofErr w:type="spellEnd"/>
      <w:r w:rsidR="0069322F">
        <w:rPr>
          <w:rFonts w:ascii="Times New Roman" w:hAnsi="Times New Roman" w:cs="Times New Roman"/>
          <w:b/>
          <w:i/>
          <w:sz w:val="20"/>
          <w:szCs w:val="20"/>
        </w:rPr>
        <w:t xml:space="preserve"> or GNSS</w:t>
      </w:r>
      <w:r w:rsidRPr="00193B88">
        <w:rPr>
          <w:rFonts w:ascii="Times New Roman" w:hAnsi="Times New Roman" w:cs="Times New Roman"/>
          <w:b/>
          <w:i/>
          <w:sz w:val="20"/>
          <w:szCs w:val="20"/>
        </w:rPr>
        <w:t>.</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It is beneficial for the</w:t>
      </w:r>
      <w:r w:rsidR="0069322F">
        <w:rPr>
          <w:rFonts w:ascii="Times New Roman" w:hAnsi="Times New Roman" w:cs="Times New Roman"/>
          <w:b/>
          <w:i/>
          <w:sz w:val="20"/>
          <w:szCs w:val="20"/>
        </w:rPr>
        <w:t xml:space="preserve"> receiving</w:t>
      </w:r>
      <w:r w:rsidRPr="00193B88">
        <w:rPr>
          <w:rFonts w:ascii="Times New Roman" w:hAnsi="Times New Roman" w:cs="Times New Roman"/>
          <w:b/>
          <w:i/>
          <w:sz w:val="20"/>
          <w:szCs w:val="20"/>
        </w:rPr>
        <w:t xml:space="preserve"> UE to be able to assume a certain synchronization reference for the received OFDM symbols.</w:t>
      </w:r>
    </w:p>
    <w:p w:rsidR="00193B88" w:rsidRDefault="00193B88" w:rsidP="00E56175">
      <w:pPr>
        <w:jc w:val="both"/>
      </w:pPr>
    </w:p>
    <w:p w:rsidR="00C0599D" w:rsidRDefault="00C0599D" w:rsidP="00E56175">
      <w:pPr>
        <w:jc w:val="both"/>
      </w:pPr>
      <w:r w:rsidRPr="00C0599D">
        <w:t>Another aspect</w:t>
      </w:r>
      <w:r>
        <w:t xml:space="preserve"> that requires attention is whether </w:t>
      </w:r>
      <w:r w:rsidR="00230606">
        <w:t xml:space="preserve">it is acceptable to mix </w:t>
      </w:r>
      <w:proofErr w:type="spellStart"/>
      <w:r w:rsidR="00230606">
        <w:t>eNB</w:t>
      </w:r>
      <w:proofErr w:type="spellEnd"/>
      <w:r w:rsidR="00230606">
        <w:t xml:space="preserve">-synchronized transmissions and GNSS-synchronized transmissions within a common set of resources. Even though a NW implementation may alleviate the associated </w:t>
      </w:r>
      <w:r w:rsidR="00230606">
        <w:lastRenderedPageBreak/>
        <w:t xml:space="preserve">issues under certain assumptions that are not always applicable, it is in general preferable to split resources (pools) for UEs that follow </w:t>
      </w:r>
      <w:proofErr w:type="spellStart"/>
      <w:r w:rsidR="00230606">
        <w:t>eNB</w:t>
      </w:r>
      <w:proofErr w:type="spellEnd"/>
      <w:r w:rsidR="00230606">
        <w:t xml:space="preserve"> timing from the resources (pools) used by UEs following an absolute timing such as GNSS. This can be achieved by optionally restricting the use of a certain pool to UEs based on the selected synchronization source.</w:t>
      </w:r>
    </w:p>
    <w:p w:rsidR="00230606" w:rsidRPr="00193B88" w:rsidRDefault="00230606" w:rsidP="00E56175">
      <w:pPr>
        <w:jc w:val="both"/>
        <w:rPr>
          <w:b/>
          <w:i/>
        </w:rPr>
      </w:pPr>
      <w:r w:rsidRPr="00193B88">
        <w:rPr>
          <w:b/>
          <w:i/>
        </w:rPr>
        <w:t>Observations:</w:t>
      </w:r>
    </w:p>
    <w:p w:rsidR="00230606" w:rsidRDefault="00230606"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It is beneficial to optionally limit the access to a pool depending on the synchronization reference (e.g., GNSS,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used by the transmitters</w:t>
      </w:r>
      <w:r w:rsidRPr="00193B88">
        <w:rPr>
          <w:rFonts w:ascii="Times New Roman" w:hAnsi="Times New Roman" w:cs="Times New Roman"/>
          <w:b/>
          <w:i/>
          <w:sz w:val="20"/>
          <w:szCs w:val="20"/>
        </w:rPr>
        <w:t>.</w:t>
      </w:r>
    </w:p>
    <w:p w:rsidR="00230606" w:rsidRDefault="00230606"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A pool could be restricted by configuration to be used by UEs deriving synchronization directly or indirectly from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and/or other sources.</w:t>
      </w:r>
    </w:p>
    <w:p w:rsidR="00230606" w:rsidRPr="00193B88" w:rsidRDefault="00230606"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Details of a good pools configuration are up to NW implementation.</w:t>
      </w:r>
    </w:p>
    <w:p w:rsidR="00230606" w:rsidRPr="00230606" w:rsidRDefault="00230606" w:rsidP="00E56175">
      <w:pPr>
        <w:jc w:val="both"/>
        <w:rPr>
          <w:lang w:val="en-US"/>
        </w:rPr>
      </w:pPr>
    </w:p>
    <w:p w:rsidR="00193B88" w:rsidRPr="00193B88" w:rsidRDefault="00193B88" w:rsidP="00E56175">
      <w:pPr>
        <w:jc w:val="both"/>
        <w:rPr>
          <w:b/>
          <w:i/>
        </w:rPr>
      </w:pPr>
      <w:r>
        <w:rPr>
          <w:b/>
          <w:i/>
        </w:rPr>
        <w:t>Proposal</w:t>
      </w:r>
      <w:r w:rsidR="00861C3F">
        <w:rPr>
          <w:b/>
          <w:i/>
        </w:rPr>
        <w:t>s</w:t>
      </w:r>
      <w:r w:rsidRPr="00193B88">
        <w:rPr>
          <w:b/>
          <w:i/>
        </w:rPr>
        <w:t>:</w:t>
      </w:r>
    </w:p>
    <w:p w:rsidR="00193B88" w:rsidRPr="00193B88" w:rsidRDefault="00193B88"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The receiver UE is able to assume a certain </w:t>
      </w:r>
      <w:r w:rsidRPr="00193B88">
        <w:rPr>
          <w:rFonts w:ascii="Times New Roman" w:hAnsi="Times New Roman" w:cs="Times New Roman"/>
          <w:b/>
          <w:i/>
          <w:sz w:val="20"/>
          <w:szCs w:val="20"/>
        </w:rPr>
        <w:t xml:space="preserve">synchronization reference </w:t>
      </w:r>
      <w:r>
        <w:rPr>
          <w:rFonts w:ascii="Times New Roman" w:hAnsi="Times New Roman" w:cs="Times New Roman"/>
          <w:b/>
          <w:i/>
          <w:sz w:val="20"/>
          <w:szCs w:val="20"/>
        </w:rPr>
        <w:t>in order to attempt reception of</w:t>
      </w:r>
      <w:r w:rsidRPr="00193B88">
        <w:rPr>
          <w:rFonts w:ascii="Times New Roman" w:hAnsi="Times New Roman" w:cs="Times New Roman"/>
          <w:b/>
          <w:i/>
          <w:sz w:val="20"/>
          <w:szCs w:val="20"/>
        </w:rPr>
        <w:t xml:space="preserve"> </w:t>
      </w:r>
      <w:r>
        <w:rPr>
          <w:rFonts w:ascii="Times New Roman" w:hAnsi="Times New Roman" w:cs="Times New Roman"/>
          <w:b/>
          <w:i/>
          <w:sz w:val="20"/>
          <w:szCs w:val="20"/>
        </w:rPr>
        <w:t xml:space="preserve">a V2V SL </w:t>
      </w:r>
      <w:proofErr w:type="spellStart"/>
      <w:r>
        <w:rPr>
          <w:rFonts w:ascii="Times New Roman" w:hAnsi="Times New Roman" w:cs="Times New Roman"/>
          <w:b/>
          <w:i/>
          <w:sz w:val="20"/>
          <w:szCs w:val="20"/>
        </w:rPr>
        <w:t>subframe</w:t>
      </w:r>
      <w:proofErr w:type="spellEnd"/>
      <w:r w:rsidRPr="00193B88">
        <w:rPr>
          <w:rFonts w:ascii="Times New Roman" w:hAnsi="Times New Roman" w:cs="Times New Roman"/>
          <w:b/>
          <w:i/>
          <w:sz w:val="20"/>
          <w:szCs w:val="20"/>
        </w:rPr>
        <w:t>.</w:t>
      </w:r>
    </w:p>
    <w:p w:rsidR="00861C3F" w:rsidRPr="00861C3F" w:rsidRDefault="00193B88"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Each pool configuration indicates whether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synchronizations are allowed for accessing such pool.</w:t>
      </w:r>
    </w:p>
    <w:p w:rsidR="00651380" w:rsidRPr="00771023" w:rsidRDefault="00651380" w:rsidP="00230606">
      <w:pPr>
        <w:pStyle w:val="ListParagraph"/>
        <w:jc w:val="both"/>
        <w:rPr>
          <w:b/>
          <w:i/>
        </w:rPr>
      </w:pPr>
    </w:p>
    <w:p w:rsidR="00D0339F" w:rsidRPr="00744368" w:rsidRDefault="00D0339F" w:rsidP="00BB2B22">
      <w:pPr>
        <w:pStyle w:val="Heading1"/>
      </w:pPr>
      <w:r w:rsidRPr="00744368">
        <w:t>Conclusions</w:t>
      </w:r>
      <w:r w:rsidR="00A11B11" w:rsidRPr="00744368">
        <w:t xml:space="preserve"> </w:t>
      </w:r>
    </w:p>
    <w:p w:rsidR="00A90703" w:rsidRPr="00744368" w:rsidRDefault="00A90703" w:rsidP="00A90703">
      <w:pPr>
        <w:pStyle w:val="BodyText"/>
        <w:spacing w:after="240"/>
        <w:jc w:val="both"/>
        <w:rPr>
          <w:spacing w:val="2"/>
          <w:sz w:val="20"/>
          <w:szCs w:val="20"/>
        </w:rPr>
      </w:pPr>
      <w:r w:rsidRPr="00A90703">
        <w:rPr>
          <w:spacing w:val="2"/>
          <w:sz w:val="20"/>
          <w:szCs w:val="20"/>
        </w:rPr>
        <w:t xml:space="preserve">In this contribution we discuss </w:t>
      </w:r>
      <w:r w:rsidR="00E56175">
        <w:rPr>
          <w:spacing w:val="2"/>
          <w:sz w:val="20"/>
          <w:szCs w:val="20"/>
        </w:rPr>
        <w:t>synchronization aspects related to pools</w:t>
      </w:r>
      <w:r w:rsidRPr="00A90703">
        <w:rPr>
          <w:spacing w:val="2"/>
          <w:sz w:val="20"/>
          <w:szCs w:val="20"/>
        </w:rPr>
        <w:t>.</w:t>
      </w:r>
    </w:p>
    <w:p w:rsidR="00E56175" w:rsidRPr="00193B88" w:rsidRDefault="00E56175" w:rsidP="00E56175">
      <w:pPr>
        <w:jc w:val="both"/>
        <w:rPr>
          <w:b/>
          <w:i/>
        </w:rPr>
      </w:pPr>
      <w:r w:rsidRPr="00193B88">
        <w:rPr>
          <w:b/>
          <w:i/>
        </w:rPr>
        <w:t>Observations:</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 xml:space="preserve">The received signals of interest </w:t>
      </w:r>
      <w:r>
        <w:rPr>
          <w:rFonts w:ascii="Times New Roman" w:hAnsi="Times New Roman" w:cs="Times New Roman"/>
          <w:b/>
          <w:i/>
          <w:sz w:val="20"/>
          <w:szCs w:val="20"/>
        </w:rPr>
        <w:t xml:space="preserve">have different time distributions depending whether </w:t>
      </w:r>
      <w:r w:rsidRPr="00193B88">
        <w:rPr>
          <w:rFonts w:ascii="Times New Roman" w:hAnsi="Times New Roman" w:cs="Times New Roman"/>
          <w:b/>
          <w:i/>
          <w:sz w:val="20"/>
          <w:szCs w:val="20"/>
        </w:rPr>
        <w:t xml:space="preserve">UEs are synchronized to an </w:t>
      </w:r>
      <w:proofErr w:type="spellStart"/>
      <w:r w:rsidRPr="00193B88">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or GNSS</w:t>
      </w:r>
      <w:r w:rsidRPr="00193B88">
        <w:rPr>
          <w:rFonts w:ascii="Times New Roman" w:hAnsi="Times New Roman" w:cs="Times New Roman"/>
          <w:b/>
          <w:i/>
          <w:sz w:val="20"/>
          <w:szCs w:val="20"/>
        </w:rPr>
        <w:t>.</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sidRPr="00193B88">
        <w:rPr>
          <w:rFonts w:ascii="Times New Roman" w:hAnsi="Times New Roman" w:cs="Times New Roman"/>
          <w:b/>
          <w:i/>
          <w:sz w:val="20"/>
          <w:szCs w:val="20"/>
        </w:rPr>
        <w:t>It is beneficial for the</w:t>
      </w:r>
      <w:r>
        <w:rPr>
          <w:rFonts w:ascii="Times New Roman" w:hAnsi="Times New Roman" w:cs="Times New Roman"/>
          <w:b/>
          <w:i/>
          <w:sz w:val="20"/>
          <w:szCs w:val="20"/>
        </w:rPr>
        <w:t xml:space="preserve"> receiving</w:t>
      </w:r>
      <w:r w:rsidRPr="00193B88">
        <w:rPr>
          <w:rFonts w:ascii="Times New Roman" w:hAnsi="Times New Roman" w:cs="Times New Roman"/>
          <w:b/>
          <w:i/>
          <w:sz w:val="20"/>
          <w:szCs w:val="20"/>
        </w:rPr>
        <w:t xml:space="preserve"> UE to be able to assume a certain synchronization reference for the received OFDM symbols.</w:t>
      </w:r>
    </w:p>
    <w:p w:rsidR="00E56175"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It is beneficial to optionally limit the access to a pool depending on the synchronization reference (e.g., GNSS,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used by the transmitters</w:t>
      </w:r>
      <w:r w:rsidRPr="00193B88">
        <w:rPr>
          <w:rFonts w:ascii="Times New Roman" w:hAnsi="Times New Roman" w:cs="Times New Roman"/>
          <w:b/>
          <w:i/>
          <w:sz w:val="20"/>
          <w:szCs w:val="20"/>
        </w:rPr>
        <w:t>.</w:t>
      </w:r>
    </w:p>
    <w:p w:rsidR="00E56175" w:rsidRDefault="00E56175"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A pool could be restricted by configuration to be used by UEs deriving synchronization directly or indirectly from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and/or other sources.</w:t>
      </w:r>
    </w:p>
    <w:p w:rsidR="00E56175" w:rsidRPr="00193B88" w:rsidRDefault="00E56175" w:rsidP="00E56175">
      <w:pPr>
        <w:pStyle w:val="ListParagraph"/>
        <w:numPr>
          <w:ilvl w:val="1"/>
          <w:numId w:val="24"/>
        </w:numPr>
        <w:jc w:val="both"/>
        <w:rPr>
          <w:rFonts w:ascii="Times New Roman" w:hAnsi="Times New Roman" w:cs="Times New Roman"/>
          <w:b/>
          <w:i/>
          <w:sz w:val="20"/>
          <w:szCs w:val="20"/>
        </w:rPr>
      </w:pPr>
      <w:r>
        <w:rPr>
          <w:rFonts w:ascii="Times New Roman" w:hAnsi="Times New Roman" w:cs="Times New Roman"/>
          <w:b/>
          <w:i/>
          <w:sz w:val="20"/>
          <w:szCs w:val="20"/>
        </w:rPr>
        <w:t>Details of a good pools configuration are up to NW implementation.</w:t>
      </w:r>
    </w:p>
    <w:p w:rsidR="00E56175" w:rsidRPr="00230606" w:rsidRDefault="00E56175" w:rsidP="00E56175">
      <w:pPr>
        <w:jc w:val="both"/>
        <w:rPr>
          <w:lang w:val="en-US"/>
        </w:rPr>
      </w:pPr>
    </w:p>
    <w:p w:rsidR="00E56175" w:rsidRPr="00193B88" w:rsidRDefault="00E56175" w:rsidP="00E56175">
      <w:pPr>
        <w:jc w:val="both"/>
        <w:rPr>
          <w:b/>
          <w:i/>
        </w:rPr>
      </w:pPr>
      <w:r>
        <w:rPr>
          <w:b/>
          <w:i/>
        </w:rPr>
        <w:t>Proposals</w:t>
      </w:r>
      <w:r w:rsidRPr="00193B88">
        <w:rPr>
          <w:b/>
          <w:i/>
        </w:rPr>
        <w:t>:</w:t>
      </w:r>
    </w:p>
    <w:p w:rsidR="00E56175" w:rsidRPr="00193B88"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The receiver UE is able to assume a certain </w:t>
      </w:r>
      <w:r w:rsidRPr="00193B88">
        <w:rPr>
          <w:rFonts w:ascii="Times New Roman" w:hAnsi="Times New Roman" w:cs="Times New Roman"/>
          <w:b/>
          <w:i/>
          <w:sz w:val="20"/>
          <w:szCs w:val="20"/>
        </w:rPr>
        <w:t xml:space="preserve">synchronization reference </w:t>
      </w:r>
      <w:r>
        <w:rPr>
          <w:rFonts w:ascii="Times New Roman" w:hAnsi="Times New Roman" w:cs="Times New Roman"/>
          <w:b/>
          <w:i/>
          <w:sz w:val="20"/>
          <w:szCs w:val="20"/>
        </w:rPr>
        <w:t>in order to attempt reception of</w:t>
      </w:r>
      <w:r w:rsidRPr="00193B88">
        <w:rPr>
          <w:rFonts w:ascii="Times New Roman" w:hAnsi="Times New Roman" w:cs="Times New Roman"/>
          <w:b/>
          <w:i/>
          <w:sz w:val="20"/>
          <w:szCs w:val="20"/>
        </w:rPr>
        <w:t xml:space="preserve"> </w:t>
      </w:r>
      <w:r>
        <w:rPr>
          <w:rFonts w:ascii="Times New Roman" w:hAnsi="Times New Roman" w:cs="Times New Roman"/>
          <w:b/>
          <w:i/>
          <w:sz w:val="20"/>
          <w:szCs w:val="20"/>
        </w:rPr>
        <w:t xml:space="preserve">a V2V SL </w:t>
      </w:r>
      <w:proofErr w:type="spellStart"/>
      <w:r>
        <w:rPr>
          <w:rFonts w:ascii="Times New Roman" w:hAnsi="Times New Roman" w:cs="Times New Roman"/>
          <w:b/>
          <w:i/>
          <w:sz w:val="20"/>
          <w:szCs w:val="20"/>
        </w:rPr>
        <w:t>subframe</w:t>
      </w:r>
      <w:proofErr w:type="spellEnd"/>
      <w:r w:rsidRPr="00193B88">
        <w:rPr>
          <w:rFonts w:ascii="Times New Roman" w:hAnsi="Times New Roman" w:cs="Times New Roman"/>
          <w:b/>
          <w:i/>
          <w:sz w:val="20"/>
          <w:szCs w:val="20"/>
        </w:rPr>
        <w:t>.</w:t>
      </w:r>
    </w:p>
    <w:p w:rsidR="00E56175" w:rsidRPr="00861C3F" w:rsidRDefault="00E56175" w:rsidP="00E56175">
      <w:pPr>
        <w:pStyle w:val="ListParagraph"/>
        <w:numPr>
          <w:ilvl w:val="0"/>
          <w:numId w:val="24"/>
        </w:numPr>
        <w:jc w:val="both"/>
        <w:rPr>
          <w:rFonts w:ascii="Times New Roman" w:hAnsi="Times New Roman" w:cs="Times New Roman"/>
          <w:b/>
          <w:i/>
          <w:sz w:val="20"/>
          <w:szCs w:val="20"/>
        </w:rPr>
      </w:pPr>
      <w:r>
        <w:rPr>
          <w:rFonts w:ascii="Times New Roman" w:hAnsi="Times New Roman" w:cs="Times New Roman"/>
          <w:b/>
          <w:i/>
          <w:sz w:val="20"/>
          <w:szCs w:val="20"/>
        </w:rPr>
        <w:t xml:space="preserve">Each pool configuration indicates whether GNSS and/or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synchronizations are allowed for accessing such pool.</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1D7FD8" w:rsidRPr="005E0380" w:rsidRDefault="009A1074" w:rsidP="00B707F1">
      <w:r w:rsidRPr="00E56175">
        <w:t xml:space="preserve">[1] </w:t>
      </w:r>
      <w:r w:rsidR="00FE4554" w:rsidRPr="00E56175">
        <w:t>R1-</w:t>
      </w:r>
      <w:r w:rsidR="00E56175" w:rsidRPr="00E56175">
        <w:t>166960,</w:t>
      </w:r>
      <w:r w:rsidR="00DA5BAA" w:rsidRPr="00E56175">
        <w:tab/>
      </w:r>
      <w:r w:rsidR="00E56175" w:rsidRPr="00E56175">
        <w:t>Distributed</w:t>
      </w:r>
      <w:r w:rsidR="00DA5BAA" w:rsidRPr="00E56175">
        <w:t xml:space="preserve"> Synchronization</w:t>
      </w:r>
      <w:r w:rsidR="00E56175" w:rsidRPr="00E56175">
        <w:t xml:space="preserve"> Procedure for V2X over PC5</w:t>
      </w:r>
      <w:r w:rsidR="00DA5BAA" w:rsidRPr="00E56175">
        <w:t>,</w:t>
      </w:r>
      <w:r w:rsidR="00E56175" w:rsidRPr="00E56175">
        <w:t xml:space="preserve"> </w:t>
      </w:r>
      <w:r w:rsidR="00DA5BAA" w:rsidRPr="00E56175">
        <w:t>Ericsson</w:t>
      </w:r>
      <w:bookmarkStart w:id="7" w:name="_GoBack"/>
      <w:bookmarkEnd w:id="7"/>
    </w:p>
    <w:sectPr w:rsidR="001D7FD8" w:rsidRPr="005E0380"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0A8" w:rsidRDefault="00CA60A8">
      <w:r>
        <w:separator/>
      </w:r>
    </w:p>
  </w:endnote>
  <w:endnote w:type="continuationSeparator" w:id="0">
    <w:p w:rsidR="00CA60A8" w:rsidRDefault="00CA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0A8" w:rsidRDefault="00CA60A8">
      <w:r>
        <w:separator/>
      </w:r>
    </w:p>
  </w:footnote>
  <w:footnote w:type="continuationSeparator" w:id="0">
    <w:p w:rsidR="00CA60A8" w:rsidRDefault="00CA6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002F99"/>
    <w:multiLevelType w:val="hybridMultilevel"/>
    <w:tmpl w:val="56F2D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614AB2"/>
    <w:multiLevelType w:val="hybridMultilevel"/>
    <w:tmpl w:val="03E0E7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3"/>
  </w:num>
  <w:num w:numId="3">
    <w:abstractNumId w:val="21"/>
  </w:num>
  <w:num w:numId="4">
    <w:abstractNumId w:val="10"/>
  </w:num>
  <w:num w:numId="5">
    <w:abstractNumId w:val="14"/>
  </w:num>
  <w:num w:numId="6">
    <w:abstractNumId w:val="24"/>
  </w:num>
  <w:num w:numId="7">
    <w:abstractNumId w:val="4"/>
  </w:num>
  <w:num w:numId="8">
    <w:abstractNumId w:val="2"/>
  </w:num>
  <w:num w:numId="9">
    <w:abstractNumId w:val="16"/>
  </w:num>
  <w:num w:numId="10">
    <w:abstractNumId w:val="7"/>
  </w:num>
  <w:num w:numId="11">
    <w:abstractNumId w:val="19"/>
  </w:num>
  <w:num w:numId="12">
    <w:abstractNumId w:val="11"/>
  </w:num>
  <w:num w:numId="13">
    <w:abstractNumId w:val="17"/>
  </w:num>
  <w:num w:numId="14">
    <w:abstractNumId w:val="20"/>
  </w:num>
  <w:num w:numId="15">
    <w:abstractNumId w:val="18"/>
  </w:num>
  <w:num w:numId="16">
    <w:abstractNumId w:val="5"/>
  </w:num>
  <w:num w:numId="17">
    <w:abstractNumId w:val="12"/>
  </w:num>
  <w:num w:numId="18">
    <w:abstractNumId w:val="1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2"/>
  </w:num>
  <w:num w:numId="22">
    <w:abstractNumId w:val="8"/>
  </w:num>
  <w:num w:numId="23">
    <w:abstractNumId w:val="1"/>
  </w:num>
  <w:num w:numId="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B5"/>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0CD"/>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514"/>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B88"/>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4BF"/>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606"/>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13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444"/>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376"/>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4F7EA4"/>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067"/>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380"/>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7DD"/>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22F"/>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1C3F"/>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0F2"/>
    <w:rsid w:val="008941F0"/>
    <w:rsid w:val="00894B20"/>
    <w:rsid w:val="00894BBA"/>
    <w:rsid w:val="00894EA3"/>
    <w:rsid w:val="00895264"/>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413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C90"/>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13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99D"/>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0A8"/>
    <w:rsid w:val="00CA638D"/>
    <w:rsid w:val="00CA68C0"/>
    <w:rsid w:val="00CA6951"/>
    <w:rsid w:val="00CA7313"/>
    <w:rsid w:val="00CA735B"/>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175"/>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4A3"/>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3B55"/>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3F06"/>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2DBF"/>
    <w:rsid w:val="00FE3AE6"/>
    <w:rsid w:val="00FE3DE8"/>
    <w:rsid w:val="00FE3E8D"/>
    <w:rsid w:val="00FE43E8"/>
    <w:rsid w:val="00FE4554"/>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FE4554"/>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Revision">
    <w:name w:val="Revision"/>
    <w:hidden/>
    <w:uiPriority w:val="99"/>
    <w:semiHidden/>
    <w:rsid w:val="00F73B5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FE4554"/>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Revision">
    <w:name w:val="Revision"/>
    <w:hidden/>
    <w:uiPriority w:val="99"/>
    <w:semiHidden/>
    <w:rsid w:val="00F73B5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29ED7-8582-4FD7-81DF-6034C5FD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2016-08-10T08:53:00Z</dcterms:created>
  <dcterms:modified xsi:type="dcterms:W3CDTF">2016-08-11T13:36:00Z</dcterms:modified>
</cp:coreProperties>
</file>